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142" w:type="dxa"/>
        <w:tblLook w:val="04A0" w:firstRow="1" w:lastRow="0" w:firstColumn="1" w:lastColumn="0" w:noHBand="0" w:noVBand="1"/>
      </w:tblPr>
      <w:tblGrid>
        <w:gridCol w:w="9488"/>
      </w:tblGrid>
      <w:tr w:rsidR="006406F9" w:rsidRPr="006406F9" w:rsidTr="007315CD">
        <w:trPr>
          <w:trHeight w:val="693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406F9" w:rsidRPr="006406F9" w:rsidRDefault="006406F9" w:rsidP="00250626">
            <w:pPr>
              <w:shd w:val="clear" w:color="auto" w:fill="BFBFBF" w:themeFill="background1" w:themeFillShade="B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40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KBRN ARINDIRMA ÜNİTESİ ASGARİ STANDARTLARI</w:t>
            </w:r>
          </w:p>
        </w:tc>
      </w:tr>
    </w:tbl>
    <w:p w:rsidR="006406F9" w:rsidRPr="006406F9" w:rsidRDefault="006406F9" w:rsidP="006406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6270A" w:rsidRPr="006406F9" w:rsidRDefault="0086270A" w:rsidP="006406F9">
      <w:pPr>
        <w:tabs>
          <w:tab w:val="left" w:pos="566"/>
        </w:tabs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406F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1.</w:t>
      </w:r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KBRN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dekontaminasyon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ünitesi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hastane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yönetiminin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uygun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göreceği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dışarıda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bir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alanda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olmalıdır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Acil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servis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içinde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kurulmuş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ise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ambulans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girişi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ve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ayaktan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hasta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girişinden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ayrı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bir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girişi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bulunmalıdır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86270A" w:rsidRPr="006406F9" w:rsidRDefault="0086270A" w:rsidP="006406F9">
      <w:pPr>
        <w:tabs>
          <w:tab w:val="left" w:pos="566"/>
        </w:tabs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406F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2. </w:t>
      </w:r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KBRN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dekontaminasyon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ünitesi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zemini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suyun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akışını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kolaylaştıracak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şekilde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eğimli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ve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diğer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alanlara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suyun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gitmesi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ihtimaline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karşı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korunaklı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olarak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düzenlenmelidir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Arındırma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sonrasında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atık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suyun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biriktirildiği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atık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su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deposu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bulunmalıdır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Atık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su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deposunun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proofErr w:type="gram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bertarafı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kolaylıkla</w:t>
      </w:r>
      <w:proofErr w:type="spellEnd"/>
      <w:proofErr w:type="gram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tahliye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edilebilecek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sistemde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olmalıdır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86270A" w:rsidRPr="006406F9" w:rsidRDefault="0086270A" w:rsidP="006406F9">
      <w:pPr>
        <w:tabs>
          <w:tab w:val="left" w:pos="566"/>
        </w:tabs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406F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3. </w:t>
      </w:r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KBRN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dekontaminasyon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ünitesi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içinde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bulunan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sedye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yerden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en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az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50 cm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yüksekte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en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az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80 cm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eninde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200 cm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boyunda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ızgaralı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/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delikli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kolay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taşınabilir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bir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malzemeden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yapılmış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olmalıdır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86270A" w:rsidRPr="006406F9" w:rsidRDefault="0086270A" w:rsidP="006406F9">
      <w:pPr>
        <w:tabs>
          <w:tab w:val="left" w:pos="566"/>
        </w:tabs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406F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4.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Ünite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içerisinde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soğuk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ve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sıcak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su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tesisatı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bulunmalıdır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Duşlar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arasında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en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az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1</w:t>
      </w:r>
      <w:proofErr w:type="gram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,5</w:t>
      </w:r>
      <w:proofErr w:type="gram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metrelik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uzaklık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olmalıdır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86270A" w:rsidRPr="006406F9" w:rsidRDefault="0086270A" w:rsidP="006406F9">
      <w:pPr>
        <w:tabs>
          <w:tab w:val="left" w:pos="566"/>
        </w:tabs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406F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5. </w:t>
      </w:r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KBRN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dekontaminasyon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ünitesi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iç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duvarları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kolay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temizlenebilir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su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geçirmez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bir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proofErr w:type="gram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malzeme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ile</w:t>
      </w:r>
      <w:proofErr w:type="spellEnd"/>
      <w:proofErr w:type="gram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kaplanmış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olmalıdır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86270A" w:rsidRPr="00DD6719" w:rsidRDefault="0086270A" w:rsidP="006406F9">
      <w:pPr>
        <w:tabs>
          <w:tab w:val="left" w:pos="566"/>
        </w:tabs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  <w:r w:rsidRPr="006406F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6. </w:t>
      </w:r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KBRN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dekontaminasyon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ünitesi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girişi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içi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ve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çıkışında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yeterli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aydınlatma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sağlanmalıdır</w:t>
      </w:r>
      <w:proofErr w:type="spellEnd"/>
      <w:r w:rsidRPr="00DD6719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DD6719" w:rsidRPr="00DD6719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  <w:r w:rsidR="00DD6719" w:rsidRPr="00DD67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KBRN </w:t>
      </w:r>
      <w:proofErr w:type="spellStart"/>
      <w:r w:rsidR="00DD6719" w:rsidRPr="00DD6719">
        <w:rPr>
          <w:rFonts w:ascii="Times New Roman" w:hAnsi="Times New Roman" w:cs="Times New Roman"/>
          <w:color w:val="000000" w:themeColor="text1"/>
          <w:sz w:val="20"/>
          <w:szCs w:val="20"/>
        </w:rPr>
        <w:t>dekontaminasyon</w:t>
      </w:r>
      <w:proofErr w:type="spellEnd"/>
      <w:r w:rsidR="00DD6719" w:rsidRPr="00DD67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D6719" w:rsidRPr="00DD6719">
        <w:rPr>
          <w:rFonts w:ascii="Times New Roman" w:hAnsi="Times New Roman" w:cs="Times New Roman"/>
          <w:color w:val="000000" w:themeColor="text1"/>
          <w:sz w:val="20"/>
          <w:szCs w:val="20"/>
        </w:rPr>
        <w:t>ünitesi</w:t>
      </w:r>
      <w:proofErr w:type="spellEnd"/>
      <w:r w:rsidR="00DD6719" w:rsidRPr="00DD67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D6719" w:rsidRPr="00DD6719">
        <w:rPr>
          <w:rFonts w:ascii="Times New Roman" w:hAnsi="Times New Roman" w:cs="Times New Roman"/>
          <w:color w:val="000000" w:themeColor="text1"/>
          <w:sz w:val="20"/>
          <w:szCs w:val="20"/>
        </w:rPr>
        <w:t>girişinde</w:t>
      </w:r>
      <w:proofErr w:type="spellEnd"/>
      <w:r w:rsidR="00DD6719" w:rsidRPr="00DD67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D6719" w:rsidRPr="00DD6719">
        <w:rPr>
          <w:rFonts w:ascii="Times New Roman" w:hAnsi="Times New Roman" w:cs="Times New Roman"/>
          <w:color w:val="000000" w:themeColor="text1"/>
          <w:sz w:val="20"/>
          <w:szCs w:val="20"/>
        </w:rPr>
        <w:t>tercihen</w:t>
      </w:r>
      <w:proofErr w:type="spellEnd"/>
      <w:r w:rsidR="00DD6719" w:rsidRPr="00DD67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D6719" w:rsidRPr="00DD6719">
        <w:rPr>
          <w:rFonts w:ascii="Times New Roman" w:hAnsi="Times New Roman" w:cs="Times New Roman"/>
          <w:color w:val="000000" w:themeColor="text1"/>
          <w:sz w:val="20"/>
          <w:szCs w:val="20"/>
        </w:rPr>
        <w:t>kamera</w:t>
      </w:r>
      <w:proofErr w:type="spellEnd"/>
      <w:r w:rsidR="00DD6719" w:rsidRPr="00DD67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D6719" w:rsidRPr="00DD6719">
        <w:rPr>
          <w:rFonts w:ascii="Times New Roman" w:hAnsi="Times New Roman" w:cs="Times New Roman"/>
          <w:color w:val="000000" w:themeColor="text1"/>
          <w:sz w:val="20"/>
          <w:szCs w:val="20"/>
        </w:rPr>
        <w:t>bulunmalıdır</w:t>
      </w:r>
      <w:proofErr w:type="spellEnd"/>
      <w:r w:rsidR="00DD6719" w:rsidRPr="00DD671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6270A" w:rsidRPr="006406F9" w:rsidRDefault="0086270A" w:rsidP="006406F9">
      <w:pPr>
        <w:tabs>
          <w:tab w:val="left" w:pos="566"/>
        </w:tabs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406F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7.  </w:t>
      </w:r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KBRN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dekontaminasyon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ünitesinde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görevli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personel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için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koruyucu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elbiseler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eldiven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gözlük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maske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ve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havlu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gibi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malzemeler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yeterli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miktarda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setler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halinde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bulunmalıdır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86270A" w:rsidRDefault="0086270A" w:rsidP="006406F9">
      <w:pPr>
        <w:tabs>
          <w:tab w:val="left" w:pos="566"/>
        </w:tabs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406F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8. </w:t>
      </w:r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KBRN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dekontaminasyon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ünitesi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kolay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havalanabilecek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şekilde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planlamalıdır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Ünite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hastane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içinde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ise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havalandırma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sistemi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merkezi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havalandırma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sisteminden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bağımsız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olmalıdır</w:t>
      </w:r>
      <w:proofErr w:type="spellEnd"/>
      <w:r w:rsidRPr="006406F9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6406F9" w:rsidRPr="006406F9" w:rsidRDefault="006406F9" w:rsidP="006406F9">
      <w:pPr>
        <w:tabs>
          <w:tab w:val="left" w:pos="566"/>
        </w:tabs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Style w:val="TabloKlavuzu"/>
        <w:tblW w:w="96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5"/>
        <w:gridCol w:w="2424"/>
      </w:tblGrid>
      <w:tr w:rsidR="00C2001F" w:rsidRPr="00C2001F" w:rsidTr="00C2001F">
        <w:trPr>
          <w:trHeight w:val="494"/>
        </w:trPr>
        <w:tc>
          <w:tcPr>
            <w:tcW w:w="9654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3F7787" w:rsidRPr="00C2001F" w:rsidRDefault="003F7787" w:rsidP="00C200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200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KBRN DEPOSU MALZEME LİSTESİ</w:t>
            </w:r>
          </w:p>
        </w:tc>
      </w:tr>
      <w:tr w:rsidR="00C2001F" w:rsidRPr="00C2001F" w:rsidTr="00C2001F">
        <w:trPr>
          <w:trHeight w:val="308"/>
        </w:trPr>
        <w:tc>
          <w:tcPr>
            <w:tcW w:w="4395" w:type="dxa"/>
            <w:shd w:val="clear" w:color="auto" w:fill="D9D9D9" w:themeFill="background1" w:themeFillShade="D9"/>
            <w:noWrap/>
            <w:vAlign w:val="center"/>
            <w:hideMark/>
          </w:tcPr>
          <w:p w:rsidR="003F7787" w:rsidRPr="00C2001F" w:rsidRDefault="003F7787" w:rsidP="00C2001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MALZEMENİN ADI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  <w:hideMark/>
          </w:tcPr>
          <w:p w:rsidR="003F7787" w:rsidRPr="00C2001F" w:rsidRDefault="003F7787" w:rsidP="00C200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GRUBU REFERANS HASTANESİ</w:t>
            </w:r>
          </w:p>
        </w:tc>
        <w:tc>
          <w:tcPr>
            <w:tcW w:w="2424" w:type="dxa"/>
            <w:shd w:val="clear" w:color="auto" w:fill="D9D9D9" w:themeFill="background1" w:themeFillShade="D9"/>
            <w:noWrap/>
            <w:vAlign w:val="center"/>
            <w:hideMark/>
          </w:tcPr>
          <w:p w:rsidR="003F7787" w:rsidRPr="00C2001F" w:rsidRDefault="003F7787" w:rsidP="00C200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 GRUBU REFERANS HASTANESİ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C Tipi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Koruyucu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Kıyafet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4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D Tipi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Koruyucu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Kıyafet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4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Koruyucu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Eldiven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Çift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4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Koruyucu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Çizme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Çift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4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Tam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Yüz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Maskesi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4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Filtre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24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Ventilli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Maske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24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Gözlük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24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Tek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Kullanımlık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Eldiven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24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Hasta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Önlüğü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24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Atık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Poşeti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83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24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Plastik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Paspas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Duş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Kadar</w:t>
            </w:r>
          </w:p>
        </w:tc>
        <w:tc>
          <w:tcPr>
            <w:tcW w:w="2424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Duş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Kadar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Sıvı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Sabun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4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Çamaşır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Suyu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2424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Büyük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Boy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Çöp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Kovası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4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Fırça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4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Güvenlik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Şeridi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4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Hasta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Paravanı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4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Spinbord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4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Tekerlikli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Sandalye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4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Makinası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</w:p>
        </w:tc>
        <w:tc>
          <w:tcPr>
            <w:tcW w:w="283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4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Triyaj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Bilekliği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yada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Kartı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(her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renk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24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Ceset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Torbası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24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001F" w:rsidRPr="00C2001F" w:rsidTr="00C2001F">
        <w:trPr>
          <w:trHeight w:hRule="exact" w:val="346"/>
        </w:trPr>
        <w:tc>
          <w:tcPr>
            <w:tcW w:w="439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Havlu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Kurulama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yeterli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miktarda</w:t>
            </w:r>
            <w:proofErr w:type="spellEnd"/>
          </w:p>
        </w:tc>
        <w:tc>
          <w:tcPr>
            <w:tcW w:w="2424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01F" w:rsidRPr="00C2001F" w:rsidTr="00C2001F">
        <w:trPr>
          <w:trHeight w:hRule="exact" w:val="492"/>
        </w:trPr>
        <w:tc>
          <w:tcPr>
            <w:tcW w:w="439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Terlik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Arındırılmış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01F" w:rsidRPr="00C200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asta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yeterli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miktarda</w:t>
            </w:r>
            <w:proofErr w:type="spellEnd"/>
          </w:p>
        </w:tc>
        <w:tc>
          <w:tcPr>
            <w:tcW w:w="2424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Pansuman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Malzemesi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Yeterli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001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iktarda</w:t>
            </w:r>
            <w:proofErr w:type="spellEnd"/>
          </w:p>
        </w:tc>
        <w:tc>
          <w:tcPr>
            <w:tcW w:w="2424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Battaniye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4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Nevresim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Tercihen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Dispozıble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4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Makas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4" w:type="dxa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439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Etiket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24" w:type="dxa"/>
            <w:shd w:val="clear" w:color="auto" w:fill="F2F2F2" w:themeFill="background1" w:themeFillShade="F2"/>
            <w:noWrap/>
            <w:vAlign w:val="center"/>
            <w:hideMark/>
          </w:tcPr>
          <w:p w:rsidR="003F7787" w:rsidRPr="00C2001F" w:rsidRDefault="003F7787" w:rsidP="00C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2001F" w:rsidRPr="00C2001F" w:rsidTr="00C2001F">
        <w:trPr>
          <w:trHeight w:val="633"/>
        </w:trPr>
        <w:tc>
          <w:tcPr>
            <w:tcW w:w="9654" w:type="dxa"/>
            <w:gridSpan w:val="3"/>
            <w:shd w:val="clear" w:color="auto" w:fill="BFBFBF" w:themeFill="background1" w:themeFillShade="BF"/>
            <w:vAlign w:val="center"/>
            <w:hideMark/>
          </w:tcPr>
          <w:p w:rsidR="003F7787" w:rsidRPr="00C2001F" w:rsidRDefault="003F7787" w:rsidP="00C2001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grubu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referans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hastaneler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ildeki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risk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durumuna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hastanenin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konumuna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bağlı</w:t>
            </w:r>
            <w:proofErr w:type="spellEnd"/>
            <w:r w:rsidR="00DD6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olarak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idare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tarafından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grubu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referans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hastane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olarak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değiştirilebilir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001F" w:rsidRPr="00C2001F" w:rsidTr="00C2001F">
        <w:trPr>
          <w:trHeight w:val="308"/>
        </w:trPr>
        <w:tc>
          <w:tcPr>
            <w:tcW w:w="9654" w:type="dxa"/>
            <w:gridSpan w:val="3"/>
            <w:noWrap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Tek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kullanımlık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eldiven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çift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kat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giyilecek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9654" w:type="dxa"/>
            <w:gridSpan w:val="3"/>
            <w:noWrap/>
            <w:hideMark/>
          </w:tcPr>
          <w:p w:rsidR="003F7787" w:rsidRPr="00C2001F" w:rsidRDefault="003F7787" w:rsidP="00DD6719">
            <w:pPr>
              <w:tabs>
                <w:tab w:val="left" w:pos="75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**Her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kovadaki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atık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çift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kat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poşete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konulacak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671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9654" w:type="dxa"/>
            <w:gridSpan w:val="3"/>
            <w:noWrap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Hastaların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kirli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suyla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temasını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kesmek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9654" w:type="dxa"/>
            <w:gridSpan w:val="3"/>
            <w:noWrap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Dekontaminasyon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ünitesi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yüzey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temizliği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9654" w:type="dxa"/>
            <w:gridSpan w:val="3"/>
            <w:noWrap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Hastalar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soyunurken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mahremiyetini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korumak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9654" w:type="dxa"/>
            <w:gridSpan w:val="3"/>
            <w:noWrap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Kimliklendirme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C20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001F" w:rsidRPr="00C2001F" w:rsidTr="00C2001F">
        <w:trPr>
          <w:trHeight w:hRule="exact" w:val="284"/>
        </w:trPr>
        <w:tc>
          <w:tcPr>
            <w:tcW w:w="9654" w:type="dxa"/>
            <w:gridSpan w:val="3"/>
            <w:noWrap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01F" w:rsidRPr="00C2001F" w:rsidTr="00C2001F">
        <w:trPr>
          <w:trHeight w:hRule="exact" w:val="284"/>
        </w:trPr>
        <w:tc>
          <w:tcPr>
            <w:tcW w:w="9654" w:type="dxa"/>
            <w:gridSpan w:val="3"/>
            <w:noWrap/>
            <w:hideMark/>
          </w:tcPr>
          <w:p w:rsidR="003F7787" w:rsidRPr="00C2001F" w:rsidRDefault="003F7787" w:rsidP="00C20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15CD" w:rsidRDefault="007315CD" w:rsidP="007315CD">
      <w:pPr>
        <w:tabs>
          <w:tab w:val="left" w:pos="566"/>
        </w:tabs>
        <w:spacing w:before="120" w:after="12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37767" w:rsidRPr="00C2001F" w:rsidRDefault="00F37767" w:rsidP="00C2001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37767" w:rsidRPr="00C2001F" w:rsidSect="006406F9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B0"/>
    <w:rsid w:val="00100C7A"/>
    <w:rsid w:val="001838A4"/>
    <w:rsid w:val="003C7459"/>
    <w:rsid w:val="003F7787"/>
    <w:rsid w:val="004A2DB0"/>
    <w:rsid w:val="006406F9"/>
    <w:rsid w:val="006B612C"/>
    <w:rsid w:val="007315CD"/>
    <w:rsid w:val="00844CE6"/>
    <w:rsid w:val="0086270A"/>
    <w:rsid w:val="00A055DA"/>
    <w:rsid w:val="00C2001F"/>
    <w:rsid w:val="00DD6719"/>
    <w:rsid w:val="00DE3D59"/>
    <w:rsid w:val="00F3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9489"/>
  <w15:docId w15:val="{4EBAB101-E1EE-4C29-A730-3EB836E0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70A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70A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3F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SİBEL ÖKSÜZ</dc:creator>
  <cp:keywords/>
  <dc:description/>
  <cp:lastModifiedBy>ŞERİFE ERGÜDEN</cp:lastModifiedBy>
  <cp:revision>8</cp:revision>
  <dcterms:created xsi:type="dcterms:W3CDTF">2019-10-10T10:38:00Z</dcterms:created>
  <dcterms:modified xsi:type="dcterms:W3CDTF">2020-01-14T11:57:00Z</dcterms:modified>
</cp:coreProperties>
</file>